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75" w:lineRule="atLeast"/>
        <w:ind w:left="0" w:right="0" w:firstLine="0"/>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
          <w:i w:val="0"/>
          <w:caps w:val="0"/>
          <w:color w:val="333333"/>
          <w:spacing w:val="0"/>
          <w:sz w:val="44"/>
          <w:szCs w:val="44"/>
          <w:shd w:val="clear" w:fill="FFFFFF"/>
        </w:rPr>
        <w:t>六安市供销合作社联合社202</w:t>
      </w:r>
      <w:r>
        <w:rPr>
          <w:rFonts w:hint="eastAsia" w:ascii="方正小标宋简体" w:hAnsi="方正小标宋简体" w:eastAsia="方正小标宋简体" w:cs="方正小标宋简体"/>
          <w:b/>
          <w:i w:val="0"/>
          <w:caps w:val="0"/>
          <w:color w:val="333333"/>
          <w:spacing w:val="0"/>
          <w:sz w:val="44"/>
          <w:szCs w:val="44"/>
          <w:shd w:val="clear" w:fill="FFFFFF"/>
          <w:lang w:val="en-US" w:eastAsia="zh-CN"/>
        </w:rPr>
        <w:t>5</w:t>
      </w:r>
      <w:r>
        <w:rPr>
          <w:rFonts w:hint="eastAsia" w:ascii="方正小标宋简体" w:hAnsi="方正小标宋简体" w:eastAsia="方正小标宋简体" w:cs="方正小标宋简体"/>
          <w:b/>
          <w:i w:val="0"/>
          <w:caps w:val="0"/>
          <w:color w:val="333333"/>
          <w:spacing w:val="0"/>
          <w:sz w:val="44"/>
          <w:szCs w:val="44"/>
          <w:shd w:val="clear" w:fill="FFFFFF"/>
        </w:rPr>
        <w:t>年政府信息公开工作年度报告</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根据新修订《中华人民共和国政府信息公开条例》，结合上级有关文件精神等要求，编制</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六安市供销合作社联合社信息公开年度报告。全文包括总体情况、主动公开政府信息情况、收到和处理政府信息公开申请情况、政府信息公开行政复议、行政诉讼情况、存在的主要问题及改进情况和其他需要报告的事项。本年度报告中使用数据统计期限为</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年1月1日至</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年12月31日，本年度报告电子版可在六安市供销合作社联合社信息公开平台下载。如对本报告有任何疑问，请与六安市供销社办公室联系。（地址：六安市政务服务中心</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楼；邮编：237000；联系电话：0564-3210307）。</w:t>
      </w:r>
    </w:p>
    <w:p>
      <w:pPr>
        <w:ind w:firstLine="640" w:firstLineChars="200"/>
        <w:outlineLvl w:val="0"/>
        <w:rPr>
          <w:rFonts w:hint="eastAsia" w:ascii="仿宋_GB2312" w:hAnsi="仿宋_GB2312" w:eastAsia="仿宋_GB2312" w:cs="仿宋_GB2312"/>
          <w:sz w:val="32"/>
          <w:szCs w:val="32"/>
        </w:rPr>
      </w:pPr>
      <w:r>
        <w:rPr>
          <w:rFonts w:hint="eastAsia" w:ascii="黑体" w:hAnsi="黑体" w:eastAsia="黑体" w:cs="黑体"/>
          <w:sz w:val="32"/>
          <w:szCs w:val="32"/>
        </w:rPr>
        <w:t>一、总体情况</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2025年，</w:t>
      </w:r>
      <w:r>
        <w:rPr>
          <w:rFonts w:hint="eastAsia" w:ascii="仿宋_GB2312" w:hAnsi="仿宋_GB2312" w:eastAsia="仿宋_GB2312" w:cs="仿宋_GB2312"/>
          <w:sz w:val="32"/>
          <w:szCs w:val="32"/>
          <w:lang w:eastAsia="zh-CN"/>
        </w:rPr>
        <w:t>市供销社</w:t>
      </w:r>
      <w:r>
        <w:rPr>
          <w:rFonts w:hint="eastAsia" w:ascii="仿宋_GB2312" w:hAnsi="仿宋_GB2312" w:eastAsia="仿宋_GB2312" w:cs="仿宋_GB2312"/>
          <w:sz w:val="32"/>
          <w:szCs w:val="32"/>
        </w:rPr>
        <w:t>坚持以习近平新时代中国特色社会主义思想为指导，深入学习贯彻党的二十大及</w:t>
      </w:r>
      <w:r>
        <w:rPr>
          <w:rFonts w:hint="eastAsia" w:ascii="仿宋_GB2312" w:hAnsi="仿宋_GB2312" w:eastAsia="仿宋_GB2312" w:cs="仿宋_GB2312"/>
          <w:sz w:val="32"/>
          <w:szCs w:val="32"/>
          <w:lang w:eastAsia="zh-CN"/>
        </w:rPr>
        <w:t>二十届历次</w:t>
      </w:r>
      <w:r>
        <w:rPr>
          <w:rFonts w:hint="eastAsia" w:ascii="仿宋_GB2312" w:hAnsi="仿宋_GB2312" w:eastAsia="仿宋_GB2312" w:cs="仿宋_GB2312"/>
          <w:sz w:val="32"/>
          <w:szCs w:val="32"/>
        </w:rPr>
        <w:t>全会精神，</w:t>
      </w:r>
      <w:r>
        <w:rPr>
          <w:rFonts w:hint="eastAsia" w:ascii="仿宋_GB2312" w:hAnsi="仿宋_GB2312" w:eastAsia="仿宋_GB2312" w:cs="仿宋_GB2312"/>
          <w:sz w:val="32"/>
          <w:szCs w:val="32"/>
          <w:lang w:eastAsia="zh-CN"/>
        </w:rPr>
        <w:t>认真</w:t>
      </w:r>
      <w:r>
        <w:rPr>
          <w:rFonts w:hint="eastAsia" w:ascii="仿宋_GB2312" w:hAnsi="仿宋_GB2312" w:eastAsia="仿宋_GB2312" w:cs="仿宋_GB2312"/>
          <w:sz w:val="32"/>
          <w:szCs w:val="32"/>
          <w:lang w:val="en-US" w:eastAsia="zh-CN"/>
        </w:rPr>
        <w:t>贯彻</w:t>
      </w:r>
      <w:r>
        <w:rPr>
          <w:rFonts w:hint="eastAsia" w:ascii="仿宋_GB2312" w:hAnsi="仿宋_GB2312" w:eastAsia="仿宋_GB2312" w:cs="仿宋_GB2312"/>
          <w:sz w:val="32"/>
          <w:szCs w:val="32"/>
        </w:rPr>
        <w:t>落实《中华人民共和国政府信息公开条例》要求，坚持以公开促落实、促规范、促服务，不断提升政务公开工作标准化、规范化水平，有效保障了人民群众的知情权、参与权和监督权。</w:t>
      </w:r>
      <w:r>
        <w:rPr>
          <w:rFonts w:hint="eastAsia" w:ascii="仿宋_GB2312" w:hAnsi="仿宋_GB2312" w:eastAsia="仿宋_GB2312" w:cs="仿宋_GB2312"/>
          <w:sz w:val="32"/>
          <w:szCs w:val="32"/>
          <w:lang w:eastAsia="zh-CN"/>
        </w:rPr>
        <w:t>现将全年政务公开工作情况汇报如下：</w:t>
      </w:r>
    </w:p>
    <w:p>
      <w:pPr>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（一）主动公开</w:t>
      </w:r>
    </w:p>
    <w:p>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2025年市供销社</w:t>
      </w:r>
      <w:r>
        <w:rPr>
          <w:rFonts w:hint="eastAsia" w:ascii="仿宋_GB2312" w:hAnsi="仿宋_GB2312" w:eastAsia="仿宋_GB2312" w:cs="仿宋_GB2312"/>
          <w:sz w:val="32"/>
          <w:szCs w:val="32"/>
          <w:lang w:eastAsia="zh-CN"/>
        </w:rPr>
        <w:t>围绕中心工作，聚焦</w:t>
      </w:r>
      <w:r>
        <w:rPr>
          <w:rFonts w:hint="eastAsia" w:ascii="仿宋_GB2312" w:hAnsi="仿宋_GB2312" w:eastAsia="仿宋_GB2312" w:cs="仿宋_GB2312"/>
          <w:sz w:val="32"/>
          <w:szCs w:val="32"/>
        </w:rPr>
        <w:t>农资保供、农产品流通、农业社会化服务</w:t>
      </w:r>
      <w:r>
        <w:rPr>
          <w:rFonts w:hint="eastAsia" w:ascii="仿宋_GB2312" w:hAnsi="仿宋_GB2312" w:eastAsia="仿宋_GB2312" w:cs="仿宋_GB2312"/>
          <w:sz w:val="32"/>
          <w:szCs w:val="32"/>
          <w:lang w:eastAsia="zh-CN"/>
        </w:rPr>
        <w:t>、再生资源回收利用</w:t>
      </w:r>
      <w:r>
        <w:rPr>
          <w:rFonts w:hint="eastAsia" w:ascii="仿宋_GB2312" w:hAnsi="仿宋_GB2312" w:eastAsia="仿宋_GB2312" w:cs="仿宋_GB2312"/>
          <w:sz w:val="32"/>
          <w:szCs w:val="32"/>
        </w:rPr>
        <w:t>等主责主业，及时公开工作动态、政策文件</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重点任务落实情况。</w:t>
      </w:r>
      <w:r>
        <w:rPr>
          <w:rFonts w:hint="eastAsia" w:ascii="仿宋_GB2312" w:hAnsi="仿宋_GB2312" w:eastAsia="仿宋_GB2312" w:cs="仿宋_GB2312"/>
          <w:sz w:val="32"/>
          <w:szCs w:val="32"/>
          <w:lang w:val="en-US" w:eastAsia="zh-CN"/>
        </w:rPr>
        <w:t>2025年以来，发布农资保供信息20余篇，社会化服务信息10余篇，</w:t>
      </w:r>
      <w:r>
        <w:rPr>
          <w:rFonts w:hint="eastAsia" w:ascii="仿宋_GB2312" w:hAnsi="仿宋_GB2312" w:eastAsia="仿宋_GB2312" w:cs="仿宋_GB2312"/>
          <w:sz w:val="32"/>
          <w:szCs w:val="32"/>
          <w:lang w:eastAsia="zh-CN"/>
        </w:rPr>
        <w:t>参加长三角地区</w:t>
      </w:r>
      <w:r>
        <w:rPr>
          <w:rFonts w:hint="eastAsia" w:ascii="仿宋_GB2312" w:hAnsi="仿宋_GB2312" w:eastAsia="仿宋_GB2312" w:cs="仿宋_GB2312"/>
          <w:sz w:val="32"/>
          <w:szCs w:val="32"/>
        </w:rPr>
        <w:t>“供销市集”活动</w:t>
      </w:r>
      <w:r>
        <w:rPr>
          <w:rFonts w:hint="eastAsia" w:ascii="仿宋_GB2312" w:hAnsi="仿宋_GB2312" w:eastAsia="仿宋_GB2312" w:cs="仿宋_GB2312"/>
          <w:sz w:val="32"/>
          <w:szCs w:val="32"/>
          <w:lang w:eastAsia="zh-CN"/>
        </w:rPr>
        <w:t>信息</w:t>
      </w:r>
      <w:r>
        <w:rPr>
          <w:rFonts w:hint="eastAsia" w:ascii="仿宋_GB2312" w:hAnsi="仿宋_GB2312" w:eastAsia="仿宋_GB2312" w:cs="仿宋_GB2312"/>
          <w:sz w:val="32"/>
          <w:szCs w:val="32"/>
          <w:lang w:val="en-US" w:eastAsia="zh-CN"/>
        </w:rPr>
        <w:t>10余篇</w:t>
      </w:r>
      <w:r>
        <w:rPr>
          <w:rFonts w:hint="eastAsia" w:ascii="仿宋_GB2312" w:hAnsi="仿宋_GB2312" w:eastAsia="仿宋_GB2312" w:cs="仿宋_GB2312"/>
          <w:sz w:val="32"/>
          <w:szCs w:val="32"/>
        </w:rPr>
        <w:t>，让</w:t>
      </w:r>
      <w:r>
        <w:rPr>
          <w:rFonts w:hint="eastAsia" w:ascii="仿宋_GB2312" w:hAnsi="仿宋_GB2312" w:eastAsia="仿宋_GB2312" w:cs="仿宋_GB2312"/>
          <w:sz w:val="32"/>
          <w:szCs w:val="32"/>
          <w:lang w:eastAsia="zh-CN"/>
        </w:rPr>
        <w:t>社会群众</w:t>
      </w:r>
      <w:r>
        <w:rPr>
          <w:rFonts w:hint="eastAsia" w:ascii="仿宋_GB2312" w:hAnsi="仿宋_GB2312" w:eastAsia="仿宋_GB2312" w:cs="仿宋_GB2312"/>
          <w:sz w:val="32"/>
          <w:szCs w:val="32"/>
        </w:rPr>
        <w:t>“零距离”了解供销社工作</w:t>
      </w:r>
      <w:r>
        <w:rPr>
          <w:rFonts w:hint="eastAsia" w:ascii="仿宋_GB2312" w:hAnsi="仿宋_GB2312" w:eastAsia="仿宋_GB2312" w:cs="仿宋_GB2312"/>
          <w:sz w:val="32"/>
          <w:szCs w:val="32"/>
          <w:lang w:eastAsia="zh-CN"/>
        </w:rPr>
        <w:t>内容</w:t>
      </w:r>
      <w:r>
        <w:rPr>
          <w:rFonts w:hint="eastAsia" w:ascii="仿宋_GB2312" w:hAnsi="仿宋_GB2312" w:eastAsia="仿宋_GB2312" w:cs="仿宋_GB2312"/>
          <w:sz w:val="32"/>
          <w:szCs w:val="32"/>
        </w:rPr>
        <w:t>，提升</w:t>
      </w:r>
      <w:r>
        <w:rPr>
          <w:rFonts w:hint="eastAsia" w:ascii="仿宋_GB2312" w:hAnsi="仿宋_GB2312" w:eastAsia="仿宋_GB2312" w:cs="仿宋_GB2312"/>
          <w:sz w:val="32"/>
          <w:szCs w:val="32"/>
          <w:lang w:val="en-US" w:eastAsia="zh-CN"/>
        </w:rPr>
        <w:t>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透明度和公信力。</w:t>
      </w:r>
    </w:p>
    <w:p>
      <w:pPr>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（二）依申请公开</w:t>
      </w:r>
    </w:p>
    <w:p>
      <w:pPr>
        <w:ind w:firstLine="640" w:firstLineChars="200"/>
        <w:rPr>
          <w:rFonts w:hint="eastAsia" w:ascii="仿宋_GB2312" w:hAnsi="仿宋_GB2312" w:eastAsia="仿宋_GB2312" w:cs="仿宋_GB2312"/>
          <w:b w:val="0"/>
          <w:color w:val="000000"/>
          <w:kern w:val="2"/>
          <w:sz w:val="32"/>
          <w:szCs w:val="32"/>
          <w:lang w:val="en-US" w:eastAsia="zh-CN" w:bidi="ar-SA"/>
        </w:rPr>
      </w:pPr>
      <w:r>
        <w:rPr>
          <w:rFonts w:hint="default" w:ascii="仿宋_GB2312" w:hAnsi="仿宋_GB2312" w:eastAsia="仿宋_GB2312" w:cs="仿宋_GB2312"/>
          <w:b w:val="0"/>
          <w:color w:val="000000"/>
          <w:kern w:val="2"/>
          <w:sz w:val="32"/>
          <w:szCs w:val="32"/>
          <w:lang w:val="en-US" w:eastAsia="zh-CN" w:bidi="ar-SA"/>
        </w:rPr>
        <w:t>202</w:t>
      </w:r>
      <w:r>
        <w:rPr>
          <w:rFonts w:hint="eastAsia" w:ascii="仿宋_GB2312" w:hAnsi="仿宋_GB2312" w:eastAsia="仿宋_GB2312" w:cs="仿宋_GB2312"/>
          <w:b w:val="0"/>
          <w:color w:val="000000"/>
          <w:kern w:val="2"/>
          <w:sz w:val="32"/>
          <w:szCs w:val="32"/>
          <w:lang w:val="en-US" w:eastAsia="zh-CN" w:bidi="ar-SA"/>
        </w:rPr>
        <w:t>5年我单位未收到依申请公开的申请。</w:t>
      </w:r>
    </w:p>
    <w:p>
      <w:pPr>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（三）政府信息管理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04" w:lineRule="atLeast"/>
        <w:ind w:left="0" w:right="0" w:firstLine="640" w:firstLineChars="200"/>
        <w:jc w:val="left"/>
        <w:rPr>
          <w:rFonts w:hint="eastAsia" w:ascii="仿宋_GB2312" w:hAnsi="仿宋_GB2312" w:eastAsia="仿宋_GB2312" w:cs="仿宋_GB2312"/>
          <w:b w:val="0"/>
          <w:kern w:val="2"/>
          <w:sz w:val="32"/>
          <w:szCs w:val="32"/>
          <w:highlight w:val="none"/>
          <w:lang w:val="en-US" w:eastAsia="zh-CN" w:bidi="ar-SA"/>
        </w:rPr>
      </w:pPr>
      <w:r>
        <w:rPr>
          <w:rFonts w:hint="eastAsia" w:ascii="仿宋_GB2312" w:hAnsi="仿宋_GB2312" w:eastAsia="仿宋_GB2312" w:cs="仿宋_GB2312"/>
          <w:b w:val="0"/>
          <w:kern w:val="2"/>
          <w:sz w:val="32"/>
          <w:szCs w:val="32"/>
          <w:highlight w:val="none"/>
          <w:lang w:val="en-US" w:eastAsia="zh-CN" w:bidi="ar-SA"/>
        </w:rPr>
        <w:t>2025年，市供销社积极组织政务公开工作人员参加市政务公开办组织召开的专题培训会，同时在单位内部召开政务公开业务交流会，通过各科室人员交流分享，群策群力，持续提升政务公开工作水平。进一步严格落实信息发布“三审”制度，确保信息公开真实、准确。同时，加强对已公开信息的动态管理，及时组织人员开展单位网站信息内容自查自纠工作，对发现的过时信息、错误信息及时进行更新和修正，保证公开信息的时效性和有效性。</w:t>
      </w:r>
    </w:p>
    <w:p>
      <w:pPr>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（四）政府信息公开平台建设情况</w:t>
      </w:r>
    </w:p>
    <w:p>
      <w:pPr>
        <w:keepNext w:val="0"/>
        <w:keepLines w:val="0"/>
        <w:widowControl/>
        <w:suppressLineNumbers w:val="0"/>
        <w:ind w:firstLine="640" w:firstLineChars="200"/>
        <w:jc w:val="left"/>
        <w:rPr>
          <w:rFonts w:hint="default" w:ascii="仿宋_GB2312" w:hAnsi="仿宋_GB2312" w:eastAsia="仿宋_GB2312" w:cs="仿宋_GB2312"/>
          <w:b w:val="0"/>
          <w:kern w:val="2"/>
          <w:sz w:val="32"/>
          <w:szCs w:val="32"/>
          <w:highlight w:val="none"/>
          <w:lang w:val="en-US" w:eastAsia="zh-CN" w:bidi="ar-SA"/>
        </w:rPr>
      </w:pPr>
      <w:r>
        <w:rPr>
          <w:rFonts w:hint="eastAsia" w:ascii="仿宋_GB2312" w:hAnsi="仿宋_GB2312" w:eastAsia="仿宋_GB2312" w:cs="仿宋_GB2312"/>
          <w:b w:val="0"/>
          <w:kern w:val="2"/>
          <w:sz w:val="32"/>
          <w:szCs w:val="32"/>
          <w:highlight w:val="none"/>
          <w:lang w:val="en-US" w:eastAsia="zh-CN" w:bidi="ar-SA"/>
        </w:rPr>
        <w:t>2025年市供销社在市政务公开办的指导下，调整栏目设计，优化功能布局，做好信息维护。充分发挥政务新媒体作用，扩大公众影响力，积极回应群众诉求。截至2025年12月底，市供销社门户网站</w:t>
      </w:r>
      <w:r>
        <w:rPr>
          <w:rFonts w:hint="default" w:ascii="仿宋_GB2312" w:hAnsi="仿宋_GB2312" w:eastAsia="仿宋_GB2312" w:cs="仿宋_GB2312"/>
          <w:b w:val="0"/>
          <w:kern w:val="2"/>
          <w:sz w:val="32"/>
          <w:szCs w:val="32"/>
          <w:highlight w:val="none"/>
          <w:lang w:val="en-US" w:eastAsia="zh-CN" w:bidi="ar-SA"/>
        </w:rPr>
        <w:t>累计发布网站信息</w:t>
      </w:r>
      <w:r>
        <w:rPr>
          <w:rFonts w:hint="eastAsia" w:ascii="仿宋_GB2312" w:hAnsi="仿宋_GB2312" w:eastAsia="仿宋_GB2312" w:cs="仿宋_GB2312"/>
          <w:b w:val="0"/>
          <w:kern w:val="2"/>
          <w:sz w:val="32"/>
          <w:szCs w:val="32"/>
          <w:highlight w:val="none"/>
          <w:lang w:val="en-US" w:eastAsia="zh-CN" w:bidi="ar-SA"/>
        </w:rPr>
        <w:t>总数174</w:t>
      </w:r>
      <w:r>
        <w:rPr>
          <w:rFonts w:hint="default" w:ascii="仿宋_GB2312" w:hAnsi="仿宋_GB2312" w:eastAsia="仿宋_GB2312" w:cs="仿宋_GB2312"/>
          <w:b w:val="0"/>
          <w:kern w:val="2"/>
          <w:sz w:val="32"/>
          <w:szCs w:val="32"/>
          <w:highlight w:val="none"/>
          <w:lang w:val="en-US" w:eastAsia="zh-CN" w:bidi="ar-SA"/>
        </w:rPr>
        <w:t>条</w:t>
      </w:r>
      <w:r>
        <w:rPr>
          <w:rFonts w:hint="eastAsia" w:ascii="仿宋_GB2312" w:hAnsi="仿宋_GB2312" w:eastAsia="仿宋_GB2312" w:cs="仿宋_GB2312"/>
          <w:b w:val="0"/>
          <w:kern w:val="2"/>
          <w:sz w:val="32"/>
          <w:szCs w:val="32"/>
          <w:highlight w:val="none"/>
          <w:lang w:val="en-US" w:eastAsia="zh-CN" w:bidi="ar-SA"/>
        </w:rPr>
        <w:t>。</w:t>
      </w:r>
    </w:p>
    <w:p>
      <w:pPr>
        <w:numPr>
          <w:ilvl w:val="0"/>
          <w:numId w:val="0"/>
        </w:numPr>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（五）</w:t>
      </w:r>
      <w:r>
        <w:rPr>
          <w:rFonts w:hint="eastAsia" w:ascii="楷体_GB2312" w:hAnsi="楷体_GB2312" w:eastAsia="楷体_GB2312" w:cs="楷体_GB2312"/>
          <w:sz w:val="32"/>
          <w:szCs w:val="32"/>
        </w:rPr>
        <w:t>政府信息公开监督保障</w:t>
      </w:r>
    </w:p>
    <w:p>
      <w:pPr>
        <w:keepNext w:val="0"/>
        <w:keepLines w:val="0"/>
        <w:widowControl/>
        <w:suppressLineNumbers w:val="0"/>
        <w:ind w:firstLine="640" w:firstLineChars="200"/>
        <w:jc w:val="left"/>
        <w:rPr>
          <w:rFonts w:hint="default" w:ascii="仿宋_GB2312" w:hAnsi="仿宋_GB2312" w:eastAsia="仿宋_GB2312" w:cs="仿宋_GB2312"/>
          <w:b w:val="0"/>
          <w:kern w:val="2"/>
          <w:sz w:val="32"/>
          <w:szCs w:val="32"/>
          <w:highlight w:val="none"/>
          <w:lang w:val="en-US" w:eastAsia="zh-CN" w:bidi="ar-SA"/>
        </w:rPr>
      </w:pPr>
      <w:r>
        <w:rPr>
          <w:rFonts w:hint="eastAsia" w:ascii="仿宋_GB2312" w:hAnsi="仿宋_GB2312" w:eastAsia="仿宋_GB2312" w:cs="仿宋_GB2312"/>
          <w:sz w:val="32"/>
          <w:szCs w:val="32"/>
          <w:lang w:val="en-US" w:eastAsia="zh-CN"/>
        </w:rPr>
        <w:t>2025年市供销社及时</w:t>
      </w:r>
      <w:r>
        <w:rPr>
          <w:rFonts w:hint="eastAsia" w:ascii="仿宋_GB2312" w:hAnsi="仿宋_GB2312" w:eastAsia="仿宋_GB2312" w:cs="仿宋_GB2312"/>
          <w:sz w:val="32"/>
          <w:szCs w:val="32"/>
        </w:rPr>
        <w:t>调整</w:t>
      </w:r>
      <w:r>
        <w:rPr>
          <w:rFonts w:hint="eastAsia" w:ascii="仿宋_GB2312" w:hAnsi="仿宋_GB2312" w:eastAsia="仿宋_GB2312" w:cs="仿宋_GB2312"/>
          <w:sz w:val="32"/>
          <w:szCs w:val="32"/>
          <w:lang w:eastAsia="zh-CN"/>
        </w:rPr>
        <w:t>了</w:t>
      </w:r>
      <w:r>
        <w:rPr>
          <w:rFonts w:hint="eastAsia" w:ascii="仿宋_GB2312" w:hAnsi="仿宋_GB2312" w:eastAsia="仿宋_GB2312" w:cs="仿宋_GB2312"/>
          <w:sz w:val="32"/>
          <w:szCs w:val="32"/>
        </w:rPr>
        <w:t>政务公开工作领导小组，</w:t>
      </w:r>
      <w:r>
        <w:rPr>
          <w:rFonts w:hint="eastAsia" w:ascii="仿宋_GB2312" w:hAnsi="仿宋_GB2312" w:eastAsia="仿宋_GB2312" w:cs="仿宋_GB2312"/>
          <w:sz w:val="32"/>
          <w:szCs w:val="32"/>
          <w:lang w:eastAsia="zh-CN"/>
        </w:rPr>
        <w:t>将政务公开纳入单位工作例会重要议程</w:t>
      </w:r>
      <w:r>
        <w:rPr>
          <w:rFonts w:hint="eastAsia" w:ascii="仿宋_GB2312" w:hAnsi="仿宋_GB2312" w:eastAsia="仿宋_GB2312" w:cs="仿宋_GB2312"/>
          <w:sz w:val="32"/>
          <w:szCs w:val="32"/>
          <w:lang w:val="en-US" w:eastAsia="zh-CN"/>
        </w:rPr>
        <w:t>，构建“办公室牵头统筹、其他科室协同参与、全体干部建言献策”的工作格局，进一步抓实抓细政务公开工作的建设与管理，营造主动公</w:t>
      </w:r>
      <w:bookmarkStart w:id="0" w:name="_GoBack"/>
      <w:bookmarkEnd w:id="0"/>
      <w:r>
        <w:rPr>
          <w:rFonts w:hint="eastAsia" w:ascii="仿宋_GB2312" w:hAnsi="仿宋_GB2312" w:eastAsia="仿宋_GB2312" w:cs="仿宋_GB2312"/>
          <w:sz w:val="32"/>
          <w:szCs w:val="32"/>
          <w:lang w:val="en-US" w:eastAsia="zh-CN"/>
        </w:rPr>
        <w:t>开、常态公开的工作氛围。2025年以来，召开政务公开工作推进会4次，开展单位内部政务公开学习培训6次。</w:t>
      </w:r>
    </w:p>
    <w:p>
      <w:pPr>
        <w:numPr>
          <w:numId w:val="0"/>
        </w:numPr>
        <w:ind w:firstLine="640" w:firstLineChars="200"/>
        <w:outlineLvl w:val="0"/>
        <w:rPr>
          <w:rFonts w:hint="eastAsia" w:ascii="黑体" w:hAnsi="宋体" w:eastAsia="黑体" w:cs="黑体"/>
          <w:i w:val="0"/>
          <w:caps w:val="0"/>
          <w:color w:val="000000"/>
          <w:spacing w:val="0"/>
          <w:sz w:val="32"/>
          <w:szCs w:val="32"/>
          <w:shd w:val="clear" w:fill="FFFFFF"/>
        </w:rPr>
      </w:pPr>
      <w:r>
        <w:rPr>
          <w:rFonts w:hint="eastAsia" w:ascii="黑体" w:hAnsi="宋体" w:eastAsia="黑体" w:cs="黑体"/>
          <w:i w:val="0"/>
          <w:caps w:val="0"/>
          <w:color w:val="000000"/>
          <w:spacing w:val="0"/>
          <w:sz w:val="32"/>
          <w:szCs w:val="32"/>
          <w:shd w:val="clear" w:fill="FFFFFF"/>
          <w:lang w:eastAsia="zh-CN"/>
        </w:rPr>
        <w:t>二、</w:t>
      </w:r>
      <w:r>
        <w:rPr>
          <w:rFonts w:hint="eastAsia" w:ascii="黑体" w:hAnsi="宋体" w:eastAsia="黑体" w:cs="黑体"/>
          <w:i w:val="0"/>
          <w:caps w:val="0"/>
          <w:color w:val="000000"/>
          <w:spacing w:val="0"/>
          <w:sz w:val="32"/>
          <w:szCs w:val="32"/>
          <w:shd w:val="clear" w:fill="FFFFFF"/>
        </w:rPr>
        <w:t>主动公开政府信息情况</w:t>
      </w:r>
    </w:p>
    <w:tbl>
      <w:tblPr>
        <w:tblStyle w:val="5"/>
        <w:tblW w:w="9740" w:type="dxa"/>
        <w:jc w:val="center"/>
        <w:tblInd w:w="0" w:type="dxa"/>
        <w:tblLayout w:type="fixed"/>
        <w:tblCellMar>
          <w:top w:w="0" w:type="dxa"/>
          <w:left w:w="0" w:type="dxa"/>
          <w:bottom w:w="0" w:type="dxa"/>
          <w:right w:w="0" w:type="dxa"/>
        </w:tblCellMar>
      </w:tblPr>
      <w:tblGrid>
        <w:gridCol w:w="2435"/>
        <w:gridCol w:w="2435"/>
        <w:gridCol w:w="2435"/>
        <w:gridCol w:w="2435"/>
      </w:tblGrid>
      <w:tr>
        <w:tblPrEx>
          <w:tblLayout w:type="fixed"/>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第二十条第（一）项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本年制发件数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现行有效件数</w:t>
            </w:r>
          </w:p>
        </w:tc>
      </w:tr>
      <w:tr>
        <w:tblPrEx>
          <w:tblLayout w:type="fixed"/>
          <w:tblCellMar>
            <w:top w:w="0" w:type="dxa"/>
            <w:left w:w="0" w:type="dxa"/>
            <w:bottom w:w="0" w:type="dxa"/>
            <w:right w:w="0" w:type="dxa"/>
          </w:tblCellMar>
        </w:tblPrEx>
        <w:trPr>
          <w:trHeight w:val="459"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规章</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r>
              <w:rPr>
                <w:rFonts w:hint="eastAsia" w:ascii="宋体" w:hAnsi="宋体" w:eastAsia="宋体" w:cs="宋体"/>
                <w:color w:val="000000"/>
                <w:kern w:val="0"/>
                <w:sz w:val="20"/>
                <w:szCs w:val="20"/>
                <w:lang w:val="en-US" w:eastAsia="zh-CN"/>
              </w:rPr>
              <w:t>0</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c>
          <w:tcPr>
            <w:tcW w:w="2435" w:type="dxa"/>
            <w:tcBorders>
              <w:top w:val="nil"/>
              <w:left w:val="nil"/>
              <w:bottom w:val="single" w:color="auto" w:sz="8" w:space="0"/>
              <w:right w:val="single" w:color="auto" w:sz="8" w:space="0"/>
            </w:tcBorders>
            <w:tcMar>
              <w:left w:w="57" w:type="dxa"/>
              <w:right w:w="57" w:type="dxa"/>
            </w:tcMar>
            <w:vAlign w:val="center"/>
          </w:tcPr>
          <w:p>
            <w:pPr>
              <w:widowControl/>
              <w:ind w:firstLine="1000" w:firstLineChars="500"/>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1</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第二十条第（五）项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本年处理决定数量</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1"/>
                <w:szCs w:val="21"/>
                <w:lang w:val="en-US" w:eastAsia="zh-CN"/>
              </w:rPr>
              <w:t>0</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第二十条第（六）项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本年处理决定数量</w:t>
            </w:r>
          </w:p>
        </w:tc>
      </w:tr>
      <w:tr>
        <w:tblPrEx>
          <w:tblLayout w:type="fixed"/>
          <w:tblCellMar>
            <w:top w:w="0" w:type="dxa"/>
            <w:left w:w="0" w:type="dxa"/>
            <w:bottom w:w="0" w:type="dxa"/>
            <w:right w:w="0" w:type="dxa"/>
          </w:tblCellMar>
        </w:tblPrEx>
        <w:trPr>
          <w:trHeight w:val="414"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lang w:val="en-US" w:eastAsia="zh-CN"/>
              </w:rPr>
              <w:t>0</w:t>
            </w:r>
            <w:r>
              <w:rPr>
                <w:rFonts w:hint="eastAsia" w:ascii="宋体" w:hAnsi="宋体" w:eastAsia="宋体" w:cs="宋体"/>
                <w:color w:val="000000"/>
                <w:kern w:val="0"/>
                <w:sz w:val="20"/>
                <w:szCs w:val="20"/>
              </w:rPr>
              <w:t>　</w:t>
            </w:r>
          </w:p>
        </w:tc>
      </w:tr>
      <w:tr>
        <w:tblPrEx>
          <w:tblLayout w:type="fixed"/>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第二十条第（八）项</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本年收费金额（单位：万元）</w:t>
            </w:r>
          </w:p>
        </w:tc>
      </w:tr>
      <w:tr>
        <w:tblPrEx>
          <w:tblLayout w:type="fixed"/>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pPr>
              <w:jc w:val="center"/>
              <w:rPr>
                <w:rFonts w:hint="eastAsia" w:ascii="宋体" w:hAnsi="Times New Roman" w:eastAsia="仿宋_GB2312" w:cs="Times New Roman"/>
                <w:color w:val="000000"/>
                <w:sz w:val="24"/>
                <w:szCs w:val="24"/>
                <w:lang w:val="en-US" w:eastAsia="zh-CN"/>
              </w:rPr>
            </w:pPr>
            <w:r>
              <w:rPr>
                <w:rFonts w:hint="eastAsia" w:ascii="宋体" w:hAnsi="Times New Roman" w:eastAsia="仿宋_GB2312" w:cs="Times New Roman"/>
                <w:color w:val="000000"/>
                <w:sz w:val="24"/>
                <w:szCs w:val="24"/>
                <w:lang w:val="en-US" w:eastAsia="zh-CN"/>
              </w:rPr>
              <w:t>0</w:t>
            </w:r>
          </w:p>
        </w:tc>
      </w:tr>
    </w:tbl>
    <w:p>
      <w:pPr>
        <w:numPr>
          <w:numId w:val="0"/>
        </w:numPr>
        <w:ind w:firstLine="640" w:firstLineChars="200"/>
        <w:outlineLvl w:val="0"/>
        <w:rPr>
          <w:rFonts w:hint="eastAsia" w:ascii="黑体" w:hAnsi="宋体" w:eastAsia="黑体" w:cs="黑体"/>
          <w:i w:val="0"/>
          <w:caps w:val="0"/>
          <w:color w:val="000000"/>
          <w:spacing w:val="0"/>
          <w:sz w:val="32"/>
          <w:szCs w:val="32"/>
          <w:shd w:val="clear" w:fill="FFFFFF"/>
          <w:lang w:eastAsia="zh-CN"/>
        </w:rPr>
      </w:pPr>
      <w:r>
        <w:rPr>
          <w:rFonts w:hint="eastAsia" w:ascii="黑体" w:hAnsi="宋体" w:eastAsia="黑体" w:cs="黑体"/>
          <w:i w:val="0"/>
          <w:caps w:val="0"/>
          <w:color w:val="000000"/>
          <w:spacing w:val="0"/>
          <w:sz w:val="32"/>
          <w:szCs w:val="32"/>
          <w:shd w:val="clear" w:fill="FFFFFF"/>
          <w:lang w:eastAsia="zh-CN"/>
        </w:rPr>
        <w:t>三、收到和处理政府信息公开申请情况</w:t>
      </w:r>
    </w:p>
    <w:tbl>
      <w:tblPr>
        <w:tblStyle w:val="5"/>
        <w:tblW w:w="9745"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7"/>
        <w:gridCol w:w="943"/>
        <w:gridCol w:w="3219"/>
        <w:gridCol w:w="688"/>
        <w:gridCol w:w="688"/>
        <w:gridCol w:w="688"/>
        <w:gridCol w:w="688"/>
        <w:gridCol w:w="688"/>
        <w:gridCol w:w="688"/>
        <w:gridCol w:w="68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29" w:type="dxa"/>
            <w:gridSpan w:val="3"/>
            <w:vMerge w:val="restart"/>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widowControl/>
              <w:jc w:val="left"/>
              <w:rPr>
                <w:rFonts w:ascii="仿宋_GB2312" w:hAnsi="Times New Roman" w:eastAsia="仿宋_GB2312" w:cs="Times New Roman"/>
                <w:color w:val="000000"/>
                <w:sz w:val="32"/>
                <w:szCs w:val="32"/>
              </w:rPr>
            </w:pPr>
            <w:r>
              <w:rPr>
                <w:rFonts w:ascii="楷体" w:hAnsi="楷体" w:eastAsia="楷体" w:cs="楷体"/>
                <w:color w:val="000000"/>
                <w:kern w:val="0"/>
                <w:sz w:val="20"/>
                <w:szCs w:val="20"/>
              </w:rPr>
              <w:t>（本列数据的勾稽关系为：第一项加第二项之和，等于第三项加第四项之和）</w:t>
            </w:r>
          </w:p>
        </w:tc>
        <w:tc>
          <w:tcPr>
            <w:tcW w:w="4816" w:type="dxa"/>
            <w:gridSpan w:val="7"/>
            <w:tcBorders>
              <w:top w:val="single" w:color="auto" w:sz="8" w:space="0"/>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ascii="宋体" w:hAnsi="Times New Roman" w:eastAsia="仿宋_GB2312" w:cs="Times New Roman"/>
                <w:color w:val="000000"/>
                <w:sz w:val="24"/>
                <w:szCs w:val="24"/>
              </w:rPr>
            </w:pPr>
          </w:p>
        </w:tc>
        <w:tc>
          <w:tcPr>
            <w:tcW w:w="688" w:type="dxa"/>
            <w:vMerge w:val="restart"/>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自然人</w:t>
            </w:r>
          </w:p>
        </w:tc>
        <w:tc>
          <w:tcPr>
            <w:tcW w:w="3440"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法人或其他组织</w:t>
            </w:r>
          </w:p>
        </w:tc>
        <w:tc>
          <w:tcPr>
            <w:tcW w:w="688" w:type="dxa"/>
            <w:vMerge w:val="restart"/>
            <w:tcBorders>
              <w:top w:val="single" w:color="auto" w:sz="8" w:space="0"/>
              <w:left w:val="nil"/>
              <w:bottom w:val="outset"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29" w:type="dxa"/>
            <w:gridSpan w:val="3"/>
            <w:vMerge w:val="continue"/>
            <w:tcBorders>
              <w:top w:val="single" w:color="auto" w:sz="8" w:space="0"/>
              <w:left w:val="single" w:color="auto" w:sz="8" w:space="0"/>
              <w:bottom w:val="outset" w:color="auto" w:sz="8" w:space="0"/>
              <w:right w:val="single" w:color="auto" w:sz="8" w:space="0"/>
            </w:tcBorders>
            <w:tcMar>
              <w:left w:w="108" w:type="dxa"/>
              <w:right w:w="108" w:type="dxa"/>
            </w:tcMar>
            <w:vAlign w:val="center"/>
          </w:tcPr>
          <w:p>
            <w:pPr>
              <w:rPr>
                <w:rFonts w:ascii="宋体" w:hAnsi="Times New Roman" w:eastAsia="仿宋_GB2312" w:cs="Times New Roman"/>
                <w:color w:val="000000"/>
                <w:sz w:val="24"/>
                <w:szCs w:val="24"/>
              </w:rPr>
            </w:pPr>
          </w:p>
        </w:tc>
        <w:tc>
          <w:tcPr>
            <w:tcW w:w="688" w:type="dxa"/>
            <w:vMerge w:val="continue"/>
            <w:tcBorders>
              <w:top w:val="nil"/>
              <w:left w:val="nil"/>
              <w:bottom w:val="single"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688"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商业</w:t>
            </w:r>
          </w:p>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企业</w:t>
            </w:r>
          </w:p>
        </w:tc>
        <w:tc>
          <w:tcPr>
            <w:tcW w:w="688"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科研</w:t>
            </w:r>
          </w:p>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机构</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社会公益组织</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法律服务机构</w:t>
            </w:r>
          </w:p>
        </w:tc>
        <w:tc>
          <w:tcPr>
            <w:tcW w:w="688"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其他</w:t>
            </w:r>
          </w:p>
        </w:tc>
        <w:tc>
          <w:tcPr>
            <w:tcW w:w="688" w:type="dxa"/>
            <w:vMerge w:val="continue"/>
            <w:tcBorders>
              <w:top w:val="single" w:color="auto" w:sz="8" w:space="0"/>
              <w:left w:val="nil"/>
              <w:bottom w:val="outset" w:color="auto" w:sz="8" w:space="0"/>
              <w:right w:val="single" w:color="auto" w:sz="8" w:space="0"/>
            </w:tcBorders>
            <w:tcMar>
              <w:left w:w="108" w:type="dxa"/>
              <w:right w:w="108" w:type="dxa"/>
            </w:tcMar>
            <w:vAlign w:val="center"/>
          </w:tcPr>
          <w:p>
            <w:pPr>
              <w:rPr>
                <w:rFonts w:ascii="宋体" w:hAnsi="Times New Roman" w:eastAsia="仿宋_GB2312" w:cs="Times New Roman"/>
                <w:color w:val="000000"/>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restart"/>
            <w:tcBorders>
              <w:top w:val="nil"/>
              <w:left w:val="single" w:color="auto" w:sz="8" w:space="0"/>
              <w:bottom w:val="outset"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三、本年度办理结果</w:t>
            </w:r>
          </w:p>
        </w:tc>
        <w:tc>
          <w:tcPr>
            <w:tcW w:w="4162" w:type="dxa"/>
            <w:gridSpan w:val="2"/>
            <w:tcBorders>
              <w:top w:val="nil"/>
              <w:left w:val="nil"/>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single" w:color="auto" w:sz="8" w:space="0"/>
              <w:left w:val="nil"/>
              <w:bottom w:val="single" w:color="auto" w:sz="8" w:space="0"/>
              <w:right w:val="single" w:color="auto" w:sz="8" w:space="0"/>
            </w:tcBorders>
            <w:tcMar>
              <w:left w:w="57" w:type="dxa"/>
              <w:right w:w="57" w:type="dxa"/>
            </w:tcMar>
          </w:tcPr>
          <w:p>
            <w:pPr>
              <w:widowControl/>
              <w:jc w:val="center"/>
              <w:rPr>
                <w:rFonts w:hint="eastAsia" w:ascii="Calibri" w:hAnsi="Calibri" w:eastAsia="仿宋_GB2312" w:cs="Calibri"/>
                <w:color w:val="000000"/>
                <w:kern w:val="0"/>
                <w:sz w:val="20"/>
                <w:szCs w:val="20"/>
                <w:lang w:val="en-US" w:eastAsia="zh-CN"/>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（二）部分公开</w:t>
            </w:r>
            <w:r>
              <w:rPr>
                <w:rFonts w:hint="eastAsia" w:ascii="楷体" w:hAnsi="楷体" w:eastAsia="楷体" w:cs="楷体"/>
                <w:color w:val="000000"/>
                <w:kern w:val="0"/>
                <w:sz w:val="20"/>
                <w:szCs w:val="20"/>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hint="eastAsia" w:ascii="Calibri" w:hAnsi="Calibri" w:eastAsia="仿宋_GB2312" w:cs="Calibri"/>
                <w:color w:val="000000"/>
                <w:kern w:val="0"/>
                <w:sz w:val="20"/>
                <w:szCs w:val="20"/>
                <w:lang w:val="en-US" w:eastAsia="zh-CN"/>
              </w:rPr>
            </w:pPr>
          </w:p>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（三）不予公开</w:t>
            </w: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1.属于国家秘密</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single" w:color="auto" w:sz="8" w:space="0"/>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2.其他法律行政法规禁止公开</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3.危及“三安全一稳定”</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4.保护第三方合法权益</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5.属于三类内部事务信息</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6.属于四类过程性信息</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7.属于行政执法案卷</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8.属于行政查询事项</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（四）无法提供</w:t>
            </w: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1.本机关不掌握相关政府信息</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2.没有现成信息需要另行制作</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3.补正后申请内容仍不明确</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restart"/>
            <w:tcBorders>
              <w:top w:val="nil"/>
              <w:left w:val="nil"/>
              <w:bottom w:val="outset"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（五）不予处理</w:t>
            </w: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1.信访举报投诉类申请</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hint="eastAsia" w:ascii="仿宋_GB2312" w:hAnsi="Times New Roman" w:eastAsia="仿宋_GB2312" w:cs="Times New Roman"/>
                <w:color w:val="000000"/>
                <w:sz w:val="32"/>
                <w:szCs w:val="32"/>
                <w:lang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2.重复申请</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3.要求提供公开出版物</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4.无正当理由大量反复申请</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779" w:hRule="atLeast"/>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nil"/>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outset" w:color="auto" w:sz="8" w:space="0"/>
              <w:right w:val="single" w:color="auto" w:sz="8" w:space="0"/>
            </w:tcBorders>
            <w:tcMar>
              <w:left w:w="57" w:type="dxa"/>
              <w:right w:w="57" w:type="dxa"/>
            </w:tcMar>
            <w:vAlign w:val="center"/>
          </w:tcPr>
          <w:p>
            <w:pPr>
              <w:widowControl/>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outset"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restart"/>
            <w:tcBorders>
              <w:top w:val="outset" w:color="auto" w:sz="8" w:space="0"/>
              <w:left w:val="nil"/>
              <w:bottom w:val="outset"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（六）其他处理</w:t>
            </w:r>
          </w:p>
        </w:tc>
        <w:tc>
          <w:tcPr>
            <w:tcW w:w="3219" w:type="dxa"/>
            <w:tcBorders>
              <w:top w:val="nil"/>
              <w:left w:val="nil"/>
              <w:bottom w:val="single" w:color="auto" w:sz="8" w:space="0"/>
              <w:right w:val="single" w:color="auto" w:sz="8" w:space="0"/>
            </w:tcBorders>
            <w:tcMar>
              <w:left w:w="57" w:type="dxa"/>
              <w:right w:w="57" w:type="dxa"/>
            </w:tcMar>
            <w:vAlign w:val="center"/>
          </w:tcPr>
          <w:p>
            <w:pPr>
              <w:widowControl/>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Calibri" w:hAnsi="Calibri" w:eastAsia="仿宋_GB2312" w:cs="Calibri"/>
                <w:color w:val="000000"/>
                <w:kern w:val="0"/>
                <w:sz w:val="20"/>
                <w:szCs w:val="20"/>
              </w:rPr>
            </w:pPr>
          </w:p>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pPr>
              <w:widowControl/>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Calibri" w:hAnsi="Calibri" w:eastAsia="仿宋_GB2312" w:cs="Calibri"/>
                <w:color w:val="000000"/>
                <w:kern w:val="0"/>
                <w:sz w:val="20"/>
                <w:szCs w:val="20"/>
              </w:rPr>
            </w:pPr>
          </w:p>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943" w:type="dxa"/>
            <w:vMerge w:val="continue"/>
            <w:tcBorders>
              <w:top w:val="outset" w:color="auto" w:sz="8" w:space="0"/>
              <w:left w:val="nil"/>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3219" w:type="dxa"/>
            <w:tcBorders>
              <w:top w:val="nil"/>
              <w:left w:val="nil"/>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767" w:type="dxa"/>
            <w:vMerge w:val="continue"/>
            <w:tcBorders>
              <w:top w:val="nil"/>
              <w:left w:val="single" w:color="auto" w:sz="8" w:space="0"/>
              <w:bottom w:val="outset" w:color="auto" w:sz="8" w:space="0"/>
              <w:right w:val="single" w:color="auto" w:sz="8" w:space="0"/>
            </w:tcBorders>
            <w:tcMar>
              <w:left w:w="57" w:type="dxa"/>
              <w:right w:w="57" w:type="dxa"/>
            </w:tcMar>
            <w:vAlign w:val="center"/>
          </w:tcPr>
          <w:p>
            <w:pPr>
              <w:rPr>
                <w:rFonts w:ascii="宋体" w:hAnsi="Times New Roman" w:eastAsia="仿宋_GB2312" w:cs="Times New Roman"/>
                <w:color w:val="000000"/>
                <w:sz w:val="24"/>
                <w:szCs w:val="24"/>
              </w:rPr>
            </w:pPr>
          </w:p>
        </w:tc>
        <w:tc>
          <w:tcPr>
            <w:tcW w:w="4162" w:type="dxa"/>
            <w:gridSpan w:val="2"/>
            <w:tcBorders>
              <w:top w:val="nil"/>
              <w:left w:val="nil"/>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widowControl/>
              <w:jc w:val="center"/>
              <w:rPr>
                <w:rFonts w:hint="eastAsia" w:ascii="仿宋_GB2312" w:hAnsi="Times New Roman" w:eastAsia="仿宋_GB2312" w:cs="Times New Roman"/>
                <w:color w:val="000000"/>
                <w:sz w:val="32"/>
                <w:szCs w:val="32"/>
                <w:lang w:val="en-US" w:eastAsia="zh-CN"/>
              </w:rPr>
            </w:pPr>
            <w:r>
              <w:rPr>
                <w:rFonts w:hint="eastAsia" w:ascii="Calibri" w:hAnsi="Calibri" w:eastAsia="仿宋_GB2312" w:cs="Calibri"/>
                <w:color w:val="000000"/>
                <w:kern w:val="0"/>
                <w:sz w:val="20"/>
                <w:szCs w:val="20"/>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4929" w:type="dxa"/>
            <w:gridSpan w:val="3"/>
            <w:tcBorders>
              <w:top w:val="nil"/>
              <w:left w:val="single" w:color="auto" w:sz="8" w:space="0"/>
              <w:bottom w:val="single" w:color="auto" w:sz="8" w:space="0"/>
              <w:right w:val="single" w:color="auto" w:sz="8" w:space="0"/>
            </w:tcBorders>
            <w:tcMar>
              <w:left w:w="57" w:type="dxa"/>
              <w:right w:w="57" w:type="dxa"/>
            </w:tcMar>
            <w:vAlign w:val="center"/>
          </w:tcPr>
          <w:p>
            <w:pPr>
              <w:widowControl/>
              <w:jc w:val="left"/>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四、结转下年度继续办理</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vAlign w:val="center"/>
          </w:tcPr>
          <w:p>
            <w:pPr>
              <w:widowControl/>
              <w:jc w:val="center"/>
              <w:rPr>
                <w:rFonts w:ascii="仿宋_GB2312" w:hAnsi="Times New Roman" w:eastAsia="仿宋_GB2312" w:cs="Times New Roman"/>
                <w:color w:val="000000"/>
                <w:sz w:val="32"/>
                <w:szCs w:val="32"/>
              </w:rPr>
            </w:pPr>
            <w:r>
              <w:rPr>
                <w:rFonts w:hint="eastAsia" w:ascii="Calibri" w:hAnsi="Calibri" w:eastAsia="仿宋_GB2312" w:cs="Calibri"/>
                <w:color w:val="000000"/>
                <w:kern w:val="0"/>
                <w:sz w:val="20"/>
                <w:szCs w:val="20"/>
                <w:lang w:val="en-US" w:eastAsia="zh-CN"/>
              </w:rPr>
              <w:t>0</w:t>
            </w:r>
          </w:p>
        </w:tc>
        <w:tc>
          <w:tcPr>
            <w:tcW w:w="688" w:type="dxa"/>
            <w:tcBorders>
              <w:top w:val="nil"/>
              <w:left w:val="nil"/>
              <w:bottom w:val="single" w:color="auto" w:sz="8" w:space="0"/>
              <w:right w:val="single" w:color="auto" w:sz="8" w:space="0"/>
            </w:tcBorders>
            <w:tcMar>
              <w:left w:w="57" w:type="dxa"/>
              <w:right w:w="57" w:type="dxa"/>
            </w:tcMar>
          </w:tcPr>
          <w:p>
            <w:pPr>
              <w:ind w:firstLine="240" w:firstLineChars="100"/>
              <w:jc w:val="center"/>
              <w:rPr>
                <w:rFonts w:hint="eastAsia" w:ascii="宋体" w:hAnsi="Times New Roman" w:eastAsia="仿宋_GB2312" w:cs="Times New Roman"/>
                <w:color w:val="000000"/>
                <w:sz w:val="24"/>
                <w:szCs w:val="24"/>
                <w:lang w:val="en-US" w:eastAsia="zh-CN"/>
              </w:rPr>
            </w:pPr>
            <w:r>
              <w:rPr>
                <w:rFonts w:hint="eastAsia" w:ascii="宋体" w:hAnsi="Times New Roman" w:eastAsia="仿宋_GB2312" w:cs="Times New Roman"/>
                <w:color w:val="000000"/>
                <w:sz w:val="24"/>
                <w:szCs w:val="24"/>
                <w:lang w:val="en-US" w:eastAsia="zh-CN"/>
              </w:rPr>
              <w:t>0</w:t>
            </w:r>
          </w:p>
        </w:tc>
      </w:tr>
    </w:tbl>
    <w:p>
      <w:pPr>
        <w:numPr>
          <w:numId w:val="0"/>
        </w:numPr>
        <w:ind w:firstLine="640" w:firstLineChars="200"/>
        <w:jc w:val="left"/>
        <w:outlineLvl w:val="0"/>
        <w:rPr>
          <w:rFonts w:hint="eastAsia" w:ascii="黑体" w:hAnsi="宋体" w:eastAsia="黑体" w:cs="黑体"/>
          <w:i w:val="0"/>
          <w:caps w:val="0"/>
          <w:color w:val="000000"/>
          <w:spacing w:val="0"/>
          <w:sz w:val="32"/>
          <w:szCs w:val="32"/>
          <w:shd w:val="clear" w:fill="FFFFFF"/>
          <w:lang w:val="en-US" w:eastAsia="zh-CN"/>
        </w:rPr>
      </w:pPr>
      <w:r>
        <w:rPr>
          <w:rFonts w:hint="eastAsia" w:ascii="黑体" w:hAnsi="宋体" w:eastAsia="黑体" w:cs="黑体"/>
          <w:i w:val="0"/>
          <w:caps w:val="0"/>
          <w:color w:val="000000"/>
          <w:spacing w:val="0"/>
          <w:sz w:val="32"/>
          <w:szCs w:val="32"/>
          <w:shd w:val="clear" w:fill="FFFFFF"/>
          <w:lang w:val="en-US" w:eastAsia="zh-CN"/>
        </w:rPr>
        <w:t>四、政府信息公开行政复议、行政诉讼情况</w:t>
      </w:r>
    </w:p>
    <w:tbl>
      <w:tblPr>
        <w:tblStyle w:val="5"/>
        <w:tblW w:w="9743" w:type="dxa"/>
        <w:jc w:val="center"/>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0"/>
        <w:gridCol w:w="650"/>
        <w:gridCol w:w="650"/>
        <w:gridCol w:w="650"/>
        <w:gridCol w:w="65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行政复议</w:t>
            </w:r>
          </w:p>
        </w:tc>
        <w:tc>
          <w:tcPr>
            <w:tcW w:w="6498"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结果维持</w:t>
            </w:r>
          </w:p>
        </w:tc>
        <w:tc>
          <w:tcPr>
            <w:tcW w:w="649"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纠正</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尚未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审结</w:t>
            </w:r>
          </w:p>
        </w:tc>
        <w:tc>
          <w:tcPr>
            <w:tcW w:w="649"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c>
          <w:tcPr>
            <w:tcW w:w="324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未经复议直接起诉</w:t>
            </w:r>
          </w:p>
        </w:tc>
        <w:tc>
          <w:tcPr>
            <w:tcW w:w="325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hAnsi="Times New Roman" w:eastAsia="仿宋_GB2312" w:cs="Times New Roman"/>
                <w:color w:val="000000"/>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hAnsi="Times New Roman" w:eastAsia="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hAnsi="Times New Roman" w:eastAsia="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hAnsi="Times New Roman" w:eastAsia="仿宋_GB2312" w:cs="Times New Roman"/>
                <w:color w:val="000000"/>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rPr>
                <w:rFonts w:ascii="宋体" w:hAnsi="Times New Roman" w:eastAsia="仿宋_GB2312" w:cs="Times New Roman"/>
                <w:color w:val="000000"/>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尚未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结果</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其他</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尚未</w:t>
            </w:r>
            <w:r>
              <w:rPr>
                <w:rFonts w:hint="eastAsia" w:ascii="宋体" w:hAnsi="宋体" w:eastAsia="宋体" w:cs="宋体"/>
                <w:color w:val="000000"/>
                <w:kern w:val="0"/>
                <w:sz w:val="20"/>
                <w:szCs w:val="20"/>
              </w:rPr>
              <w:br w:type="textWrapping"/>
            </w:r>
            <w:r>
              <w:rPr>
                <w:rFonts w:hint="eastAsia" w:ascii="宋体" w:hAnsi="宋体" w:eastAsia="宋体" w:cs="宋体"/>
                <w:color w:val="000000"/>
                <w:kern w:val="0"/>
                <w:sz w:val="20"/>
                <w:szCs w:val="20"/>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宋体" w:hAnsi="宋体" w:eastAsia="宋体" w:cs="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Ex>
        <w:trPr>
          <w:trHeight w:val="51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黑体" w:hAnsi="宋体" w:eastAsia="黑体" w:cs="黑体"/>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黑体" w:hAnsi="宋体" w:eastAsia="黑体" w:cs="黑体"/>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黑体" w:hAnsi="宋体" w:eastAsia="黑体" w:cs="黑体"/>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hint="eastAsia" w:ascii="仿宋_GB2312" w:hAnsi="Times New Roman" w:eastAsia="仿宋_GB2312" w:cs="Times New Roman"/>
                <w:color w:val="000000"/>
                <w:sz w:val="32"/>
                <w:szCs w:val="32"/>
                <w:lang w:val="en-US" w:eastAsia="zh-CN"/>
              </w:rPr>
            </w:pPr>
            <w:r>
              <w:rPr>
                <w:rFonts w:hint="eastAsia" w:ascii="黑体" w:hAnsi="宋体" w:eastAsia="黑体" w:cs="黑体"/>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黑体" w:hAnsi="宋体" w:eastAsia="黑体" w:cs="黑体"/>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黑体" w:hAnsi="宋体" w:eastAsia="黑体" w:cs="黑体"/>
                <w:color w:val="000000"/>
                <w:kern w:val="0"/>
                <w:sz w:val="20"/>
                <w:szCs w:val="20"/>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jc w:val="center"/>
              <w:rPr>
                <w:rFonts w:ascii="仿宋_GB2312" w:hAnsi="Times New Roman" w:eastAsia="仿宋_GB2312" w:cs="Times New Roman"/>
                <w:color w:val="000000"/>
                <w:sz w:val="32"/>
                <w:szCs w:val="32"/>
              </w:rPr>
            </w:pPr>
            <w:r>
              <w:rPr>
                <w:rFonts w:hint="eastAsia" w:ascii="黑体" w:hAnsi="宋体" w:eastAsia="黑体" w:cs="黑体"/>
                <w:color w:val="000000"/>
                <w:kern w:val="0"/>
                <w:sz w:val="20"/>
                <w:szCs w:val="20"/>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jc w:val="center"/>
              <w:rPr>
                <w:rFonts w:hint="eastAsia" w:ascii="宋体" w:hAnsi="Times New Roman" w:eastAsia="仿宋_GB2312" w:cs="Times New Roman"/>
                <w:color w:val="000000"/>
                <w:sz w:val="24"/>
                <w:szCs w:val="24"/>
                <w:lang w:val="en-US" w:eastAsia="zh-CN"/>
              </w:rPr>
            </w:pPr>
            <w:r>
              <w:rPr>
                <w:rFonts w:hint="eastAsia" w:ascii="宋体" w:hAnsi="Times New Roman" w:eastAsia="仿宋_GB2312" w:cs="Times New Roman"/>
                <w:color w:val="000000"/>
                <w:sz w:val="24"/>
                <w:szCs w:val="24"/>
                <w:lang w:val="en-US" w:eastAsia="zh-CN"/>
              </w:rPr>
              <w:t>0</w:t>
            </w:r>
          </w:p>
        </w:tc>
      </w:tr>
    </w:tbl>
    <w:p>
      <w:pPr>
        <w:numPr>
          <w:ilvl w:val="0"/>
          <w:numId w:val="0"/>
        </w:numPr>
        <w:ind w:firstLine="640" w:firstLineChars="200"/>
        <w:outlineLvl w:val="0"/>
        <w:rPr>
          <w:rFonts w:hint="eastAsia" w:ascii="黑体" w:hAnsi="宋体" w:eastAsia="黑体" w:cs="黑体"/>
          <w:i w:val="0"/>
          <w:caps w:val="0"/>
          <w:color w:val="000000"/>
          <w:spacing w:val="0"/>
          <w:sz w:val="32"/>
          <w:szCs w:val="32"/>
          <w:highlight w:val="none"/>
          <w:shd w:val="clear" w:fill="FFFFFF"/>
          <w:lang w:val="en-US" w:eastAsia="zh-CN"/>
        </w:rPr>
      </w:pPr>
      <w:r>
        <w:rPr>
          <w:rFonts w:hint="eastAsia" w:ascii="黑体" w:hAnsi="宋体" w:eastAsia="黑体" w:cs="黑体"/>
          <w:i w:val="0"/>
          <w:caps w:val="0"/>
          <w:color w:val="000000"/>
          <w:spacing w:val="0"/>
          <w:sz w:val="32"/>
          <w:szCs w:val="32"/>
          <w:highlight w:val="none"/>
          <w:shd w:val="clear" w:fill="FFFFFF"/>
          <w:lang w:val="en-US" w:eastAsia="zh-CN"/>
        </w:rPr>
        <w:t>五、存在的主要问题及改进情况</w:t>
      </w:r>
    </w:p>
    <w:p>
      <w:pPr>
        <w:ind w:firstLine="640" w:firstLineChars="200"/>
        <w:rPr>
          <w:rFonts w:hint="eastAsia" w:ascii="仿宋_GB2312" w:hAnsi="仿宋_GB2312" w:eastAsia="仿宋_GB2312" w:cs="仿宋_GB2312"/>
          <w:i w:val="0"/>
          <w:caps w:val="0"/>
          <w:color w:val="000000"/>
          <w:spacing w:val="0"/>
          <w:kern w:val="2"/>
          <w:sz w:val="32"/>
          <w:szCs w:val="32"/>
          <w:shd w:val="clear" w:fill="FFFFFF"/>
          <w:lang w:val="en-US" w:eastAsia="zh-CN" w:bidi="ar-SA"/>
        </w:rPr>
      </w:pPr>
      <w:r>
        <w:rPr>
          <w:rFonts w:hint="eastAsia" w:ascii="仿宋_GB2312" w:hAnsi="仿宋_GB2312" w:eastAsia="仿宋_GB2312" w:cs="仿宋_GB2312"/>
          <w:sz w:val="32"/>
          <w:szCs w:val="32"/>
          <w:lang w:val="en-US" w:eastAsia="zh-CN"/>
        </w:rPr>
        <w:t>2025年，在市政务公开办的悉心指导下，我单位政务公开工作取得一定成效，但仍存在互动功能发挥不充分，未能运用人工智能、大数据等技术，打造智能问答、政策推送场景，与群众的互动交流黏性较弱等问题和不足</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市供销社将持续改善政务公开工作。一方面，在公开深度上求实招。紧密围绕供销社中心工作，在“三农一再”工作中拓展公开内容的深度和广度。探索针对社属企业、基层社发展亮点的精准化信息公开方式。另一方面，在队伍建设上求质效。通过专题培训、案例研讨、经验交流等方式，打造一支既懂业务又精通公开工作的专业队伍，提升政务公开水平，不断提高群众满意度，为六安供销合作事业高质量发展营造良好的政务环境。</w:t>
      </w:r>
    </w:p>
    <w:p>
      <w:pPr>
        <w:numPr>
          <w:ilvl w:val="0"/>
          <w:numId w:val="0"/>
        </w:numPr>
        <w:ind w:firstLine="640" w:firstLineChars="200"/>
        <w:outlineLvl w:val="0"/>
        <w:rPr>
          <w:rFonts w:hint="eastAsia" w:ascii="黑体" w:hAnsi="宋体" w:eastAsia="黑体" w:cs="黑体"/>
          <w:i w:val="0"/>
          <w:caps w:val="0"/>
          <w:color w:val="000000"/>
          <w:spacing w:val="0"/>
          <w:sz w:val="32"/>
          <w:szCs w:val="32"/>
          <w:shd w:val="clear" w:fill="FFFFFF"/>
          <w:lang w:val="en-US" w:eastAsia="zh-CN"/>
        </w:rPr>
      </w:pPr>
      <w:r>
        <w:rPr>
          <w:rFonts w:hint="eastAsia" w:ascii="黑体" w:hAnsi="宋体" w:eastAsia="黑体" w:cs="黑体"/>
          <w:i w:val="0"/>
          <w:caps w:val="0"/>
          <w:color w:val="000000"/>
          <w:spacing w:val="0"/>
          <w:sz w:val="32"/>
          <w:szCs w:val="32"/>
          <w:shd w:val="clear" w:fill="FFFFFF"/>
          <w:lang w:val="en-US" w:eastAsia="zh-CN"/>
        </w:rPr>
        <w:t>六、其他需要报告的事项</w:t>
      </w:r>
    </w:p>
    <w:p>
      <w:pPr>
        <w:numPr>
          <w:ilvl w:val="0"/>
          <w:numId w:val="0"/>
        </w:numPr>
        <w:ind w:firstLine="640" w:firstLineChars="200"/>
        <w:rPr>
          <w:rFonts w:hint="eastAsia" w:ascii="仿宋_GB2312" w:hAnsi="仿宋_GB2312" w:eastAsia="仿宋_GB2312" w:cs="仿宋_GB2312"/>
          <w:i w:val="0"/>
          <w:caps w:val="0"/>
          <w:color w:val="000000"/>
          <w:spacing w:val="0"/>
          <w:sz w:val="32"/>
          <w:szCs w:val="32"/>
          <w:shd w:val="clear" w:fill="FFFFFF"/>
          <w:lang w:val="en-US" w:eastAsia="zh-CN"/>
        </w:rPr>
      </w:pPr>
      <w:r>
        <w:rPr>
          <w:rFonts w:hint="eastAsia" w:ascii="仿宋_GB2312" w:hAnsi="仿宋_GB2312" w:eastAsia="仿宋_GB2312" w:cs="仿宋_GB2312"/>
          <w:i w:val="0"/>
          <w:caps w:val="0"/>
          <w:color w:val="000000"/>
          <w:spacing w:val="0"/>
          <w:sz w:val="32"/>
          <w:szCs w:val="32"/>
          <w:shd w:val="clear" w:fill="FFFFFF"/>
          <w:lang w:val="en-US" w:eastAsia="zh-CN"/>
        </w:rPr>
        <w:t>按照《国务院办公厅关于印发〈政府信息公开信息处理费管理办法〉的通知》(国办函〔2020〕109号)规定的按件、按量收费标准，本年度没有产生信息公开处理费。</w:t>
      </w:r>
    </w:p>
    <w:p>
      <w:pPr>
        <w:numPr>
          <w:ilvl w:val="0"/>
          <w:numId w:val="0"/>
        </w:numPr>
        <w:ind w:firstLine="640" w:firstLineChars="200"/>
        <w:rPr>
          <w:rFonts w:hint="eastAsia" w:ascii="仿宋_GB2312" w:hAnsi="仿宋_GB2312" w:eastAsia="仿宋_GB2312" w:cs="仿宋_GB2312"/>
          <w:i w:val="0"/>
          <w:caps w:val="0"/>
          <w:color w:val="000000"/>
          <w:spacing w:val="0"/>
          <w:sz w:val="32"/>
          <w:szCs w:val="32"/>
          <w:shd w:val="clear" w:fill="FFFFFF"/>
          <w:lang w:val="en-US" w:eastAsia="zh-CN"/>
        </w:rPr>
      </w:pPr>
    </w:p>
    <w:p>
      <w:pPr>
        <w:numPr>
          <w:ilvl w:val="0"/>
          <w:numId w:val="0"/>
        </w:numPr>
        <w:ind w:firstLine="640" w:firstLineChars="200"/>
        <w:rPr>
          <w:rFonts w:hint="eastAsia" w:ascii="仿宋_GB2312" w:hAnsi="仿宋_GB2312" w:eastAsia="仿宋_GB2312" w:cs="仿宋_GB2312"/>
          <w:i w:val="0"/>
          <w:caps w:val="0"/>
          <w:color w:val="000000"/>
          <w:spacing w:val="0"/>
          <w:sz w:val="32"/>
          <w:szCs w:val="32"/>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4F9426">
    <w:altName w:val="宋体"/>
    <w:panose1 w:val="02010609060101010101"/>
    <w:charset w:val="86"/>
    <w:family w:val="auto"/>
    <w:pitch w:val="default"/>
    <w:sig w:usb0="00000000" w:usb1="00000000" w:usb2="00000000" w:usb3="00000000" w:csb0="00040001" w:csb1="00000000"/>
  </w:font>
  <w:font w:name="方正魏碑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xYjQ4ZjE0ZTNhYzNlMTYxZTg2N2Y3YWExNTE1ODYifQ=="/>
  </w:docVars>
  <w:rsids>
    <w:rsidRoot w:val="00000000"/>
    <w:rsid w:val="00105E0D"/>
    <w:rsid w:val="01D911A2"/>
    <w:rsid w:val="04F57A12"/>
    <w:rsid w:val="059912BA"/>
    <w:rsid w:val="06650CD5"/>
    <w:rsid w:val="068D053D"/>
    <w:rsid w:val="069C2113"/>
    <w:rsid w:val="08AC3BF9"/>
    <w:rsid w:val="09BC38B0"/>
    <w:rsid w:val="09E30A1B"/>
    <w:rsid w:val="0A556ACE"/>
    <w:rsid w:val="0E357102"/>
    <w:rsid w:val="0E467471"/>
    <w:rsid w:val="0E7A01F8"/>
    <w:rsid w:val="115F500F"/>
    <w:rsid w:val="16DE1907"/>
    <w:rsid w:val="18AA29AC"/>
    <w:rsid w:val="193964BF"/>
    <w:rsid w:val="1BAA3122"/>
    <w:rsid w:val="1D2F647B"/>
    <w:rsid w:val="1EDE2879"/>
    <w:rsid w:val="216B26BA"/>
    <w:rsid w:val="24330EA7"/>
    <w:rsid w:val="25DA381F"/>
    <w:rsid w:val="278F2A49"/>
    <w:rsid w:val="279E2DA2"/>
    <w:rsid w:val="28B81FD1"/>
    <w:rsid w:val="28BC781C"/>
    <w:rsid w:val="28D54060"/>
    <w:rsid w:val="295972E8"/>
    <w:rsid w:val="2AF21153"/>
    <w:rsid w:val="2D3D7036"/>
    <w:rsid w:val="2E4D171D"/>
    <w:rsid w:val="312A2ADB"/>
    <w:rsid w:val="34A33F48"/>
    <w:rsid w:val="34F029C0"/>
    <w:rsid w:val="356B73D3"/>
    <w:rsid w:val="38324E23"/>
    <w:rsid w:val="38D00A57"/>
    <w:rsid w:val="399B3495"/>
    <w:rsid w:val="3B355CD3"/>
    <w:rsid w:val="3DFA459E"/>
    <w:rsid w:val="3E0104FB"/>
    <w:rsid w:val="442B40BF"/>
    <w:rsid w:val="44B815EC"/>
    <w:rsid w:val="44CD321B"/>
    <w:rsid w:val="45F27B2F"/>
    <w:rsid w:val="4621501F"/>
    <w:rsid w:val="476F6093"/>
    <w:rsid w:val="47B373E4"/>
    <w:rsid w:val="48703847"/>
    <w:rsid w:val="49500B46"/>
    <w:rsid w:val="4ADD267D"/>
    <w:rsid w:val="4C997795"/>
    <w:rsid w:val="4CA8751C"/>
    <w:rsid w:val="4F8D5AF6"/>
    <w:rsid w:val="4FFB6C04"/>
    <w:rsid w:val="50E5432A"/>
    <w:rsid w:val="53CF263E"/>
    <w:rsid w:val="53E469C1"/>
    <w:rsid w:val="54320031"/>
    <w:rsid w:val="56436DF3"/>
    <w:rsid w:val="56D41B64"/>
    <w:rsid w:val="574D3E48"/>
    <w:rsid w:val="585F1900"/>
    <w:rsid w:val="59FBCEF5"/>
    <w:rsid w:val="5A932272"/>
    <w:rsid w:val="5C156BB9"/>
    <w:rsid w:val="5C89423B"/>
    <w:rsid w:val="5FC939B7"/>
    <w:rsid w:val="60320B68"/>
    <w:rsid w:val="60350C05"/>
    <w:rsid w:val="61CD74DE"/>
    <w:rsid w:val="62090F9B"/>
    <w:rsid w:val="66C44F18"/>
    <w:rsid w:val="67A56C19"/>
    <w:rsid w:val="685309B6"/>
    <w:rsid w:val="68AA5354"/>
    <w:rsid w:val="69125205"/>
    <w:rsid w:val="693C722D"/>
    <w:rsid w:val="6A48369A"/>
    <w:rsid w:val="6B6D0662"/>
    <w:rsid w:val="6BE3579D"/>
    <w:rsid w:val="6CBC23DB"/>
    <w:rsid w:val="6D8D5115"/>
    <w:rsid w:val="6ED3726B"/>
    <w:rsid w:val="6F7E782E"/>
    <w:rsid w:val="702A2C7F"/>
    <w:rsid w:val="70C27F8A"/>
    <w:rsid w:val="727D77DF"/>
    <w:rsid w:val="72D56FEA"/>
    <w:rsid w:val="73DF8839"/>
    <w:rsid w:val="76C74B64"/>
    <w:rsid w:val="77926B2F"/>
    <w:rsid w:val="78F37238"/>
    <w:rsid w:val="7C3746AC"/>
    <w:rsid w:val="7C514158"/>
    <w:rsid w:val="7E9975A5"/>
    <w:rsid w:val="E7A7D2D5"/>
    <w:rsid w:val="FF7F6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2391</Words>
  <Characters>2484</Characters>
  <Lines>0</Lines>
  <Paragraphs>0</Paragraphs>
  <ScaleCrop>false</ScaleCrop>
  <LinksUpToDate>false</LinksUpToDate>
  <CharactersWithSpaces>2494</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2022-07-11T16:09:00Z</dcterms:created>
  <dc:creator>Administrator</dc:creator>
  <cp:lastModifiedBy>Administrator</cp:lastModifiedBy>
  <dcterms:modified xsi:type="dcterms:W3CDTF">2026-01-23T04:09:00Z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79A6694E1C9B46AB8A627A45625BD78A</vt:lpwstr>
  </property>
  <property fmtid="{D5CDD505-2E9C-101B-9397-08002B2CF9AE}" pid="4" name="KSOTemplateDocerSaveRecord">
    <vt:lpwstr>eyJoZGlkIjoiYmYwNzA0OGUxNTM2MmJlM2EwZTFjM2Y5OWY2M2VmNDMifQ==</vt:lpwstr>
  </property>
</Properties>
</file>